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sz w:val="24"/>
          <w:lang w:val="en-US"/>
        </w:rPr>
      </w:pPr>
      <w:r>
        <w:rPr>
          <w:b/>
          <w:sz w:val="24"/>
          <w:lang w:val="en-US"/>
        </w:rPr>
        <w:t>3GPP TSG-RAN WG2 Meeting #110e</w:t>
      </w:r>
      <w:r>
        <w:rPr>
          <w:b/>
          <w:sz w:val="24"/>
          <w:lang w:val="en-US"/>
        </w:rPr>
        <w:tab/>
      </w:r>
      <w:r>
        <w:rPr>
          <w:b/>
          <w:sz w:val="24"/>
          <w:lang w:val="en-US"/>
        </w:rPr>
        <w:tab/>
      </w:r>
      <w:r>
        <w:rPr>
          <w:b/>
          <w:sz w:val="24"/>
          <w:lang w:val="en-US"/>
        </w:rPr>
        <w:tab/>
      </w:r>
      <w:r>
        <w:rPr>
          <w:b/>
          <w:sz w:val="24"/>
          <w:lang w:val="en-US"/>
        </w:rPr>
        <w:tab/>
      </w:r>
      <w:r>
        <w:rPr>
          <w:b/>
          <w:sz w:val="24"/>
          <w:lang w:val="en-US"/>
        </w:rPr>
        <w:tab/>
        <w:t xml:space="preserve">  R2-2005508</w:t>
      </w:r>
      <w:bookmarkStart w:id="0" w:name="_GoBack"/>
      <w:bookmarkEnd w:id="0"/>
    </w:p>
    <w:p>
      <w:pPr>
        <w:pStyle w:val="CRCoverPage"/>
        <w:outlineLvl w:val="0"/>
        <w:rPr>
          <w:b/>
          <w:sz w:val="24"/>
        </w:rPr>
      </w:pPr>
      <w:r>
        <w:rPr>
          <w:b/>
          <w:sz w:val="24"/>
          <w:lang w:val="en-US"/>
        </w:rPr>
        <w:t>E-meeting, June 1 – June 12, 2020</w:t>
      </w:r>
      <w:r>
        <w:rPr>
          <w:b/>
          <w:sz w:val="24"/>
        </w:rPr>
        <w:tab/>
      </w:r>
      <w:r>
        <w:rPr>
          <w:b/>
          <w:sz w:val="24"/>
        </w:rPr>
        <w:tab/>
      </w:r>
      <w:r>
        <w:rPr>
          <w:b/>
          <w:sz w:val="24"/>
        </w:rPr>
        <w:tab/>
        <w:t xml:space="preserve">         </w:t>
      </w:r>
    </w:p>
    <w:p>
      <w:pPr>
        <w:pStyle w:val="a5"/>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6.7.6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Capability signaling for Joint EHC-ROHC operation</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 xml:space="preserve">One issue </w:t>
      </w:r>
      <w:r>
        <w:rPr>
          <w:lang w:val="en-US" w:eastAsia="ko-KR"/>
        </w:rPr>
        <w:t>of joint EHC-ROHC operation was brought up during IIOT UE capability discussion [AT109bis-e][031][IIOT]. In R-2002718, it was proposed to introduce UE capability signalling on whether to support EHC and ROHC simultaneously for a DRB (for both NR and LTE). However, as summarized in R2-2004131, companies views were quite evenly split, and no conclusion was made.</w:t>
      </w:r>
    </w:p>
    <w:p>
      <w:pPr>
        <w:rPr>
          <w:lang w:val="en-US" w:eastAsia="ko-KR"/>
        </w:rPr>
      </w:pPr>
      <w:r>
        <w:rPr>
          <w:rFonts w:hint="eastAsia"/>
          <w:lang w:val="en-US" w:eastAsia="ko-KR"/>
        </w:rPr>
        <w:t>In this document, we provide our view on this issu</w:t>
      </w:r>
      <w:r>
        <w:rPr>
          <w:lang w:val="en-US" w:eastAsia="ko-KR"/>
        </w:rPr>
        <w:t>e</w:t>
      </w:r>
      <w:r>
        <w:rPr>
          <w:rFonts w:hint="eastAsia"/>
          <w:lang w:val="en-US" w:eastAsia="ko-KR"/>
        </w:rPr>
        <w:t>.</w:t>
      </w:r>
    </w:p>
    <w:p>
      <w:pPr>
        <w:pStyle w:val="1"/>
        <w:rPr>
          <w:lang w:val="en-US"/>
        </w:rPr>
      </w:pPr>
      <w:r>
        <w:rPr>
          <w:lang w:val="en-US"/>
        </w:rPr>
        <w:t>2.</w:t>
      </w:r>
      <w:r>
        <w:rPr>
          <w:lang w:val="en-US"/>
        </w:rPr>
        <w:tab/>
        <w:t>Discussion</w:t>
      </w:r>
    </w:p>
    <w:p>
      <w:pPr>
        <w:rPr>
          <w:lang w:val="en-US" w:eastAsia="ko-KR"/>
        </w:rPr>
      </w:pPr>
      <w:r>
        <w:rPr>
          <w:rFonts w:hint="eastAsia"/>
          <w:lang w:val="en-US" w:eastAsia="ko-KR"/>
        </w:rPr>
        <w:t>Fir</w:t>
      </w:r>
      <w:r>
        <w:rPr>
          <w:lang w:val="en-US" w:eastAsia="ko-KR"/>
        </w:rPr>
        <w:t>st, we want to highlight that the ROHC is a mandatory feature. There is no capability signaling on support for ROHC. The capability signaling is introduced for ROHC profiles, i.e. which ROHC profile the UE can support, but not for ROHC support itself. Thus, the ROHC should be always supported regardless of whether the EHC is supported.</w:t>
      </w:r>
    </w:p>
    <w:p>
      <w:pPr>
        <w:rPr>
          <w:lang w:val="en-US" w:eastAsia="ko-KR"/>
        </w:rPr>
      </w:pPr>
      <w:r>
        <w:rPr>
          <w:lang w:val="en-US" w:eastAsia="ko-KR"/>
        </w:rPr>
        <w:t>The EHC is a function independent from the ROHC. The EHC is an optional function, and a capability signaling should be introduced to indicate whether the UE can support EHC. If the UE indicates that it can support the EHC, it means that the EHC is supported on top of the mandatory function, i.e. ROHC. It is not possible that the UE supports only EHC while not supporting ROHC. Thus, we don’t think a capability signaling for joint operation is needed.</w:t>
      </w:r>
    </w:p>
    <w:p>
      <w:pPr>
        <w:rPr>
          <w:b/>
          <w:lang w:val="en-US" w:eastAsia="ko-KR"/>
        </w:rPr>
      </w:pPr>
      <w:r>
        <w:rPr>
          <w:rFonts w:hint="eastAsia"/>
          <w:b/>
          <w:lang w:val="en-US" w:eastAsia="ko-KR"/>
        </w:rPr>
        <w:t xml:space="preserve">Observation 1. </w:t>
      </w:r>
      <w:r>
        <w:rPr>
          <w:b/>
          <w:lang w:val="en-US" w:eastAsia="ko-KR"/>
        </w:rPr>
        <w:t>ROHC is a mandatory feature, and support for EHC means that the UE can support both EHC and ROHC simultaneously.</w:t>
      </w:r>
    </w:p>
    <w:p>
      <w:pPr>
        <w:rPr>
          <w:b/>
          <w:lang w:val="en-US" w:eastAsia="ko-KR"/>
        </w:rPr>
      </w:pPr>
      <w:r>
        <w:rPr>
          <w:b/>
          <w:lang w:val="en-US" w:eastAsia="ko-KR"/>
        </w:rPr>
        <w:t>Proposal 1. A capability signaling for joint EHC-ROHC operation is not needed.</w:t>
      </w:r>
    </w:p>
    <w:p>
      <w:pPr>
        <w:rPr>
          <w:lang w:val="en-US" w:eastAsia="ko-KR"/>
        </w:rPr>
      </w:pPr>
      <w:r>
        <w:rPr>
          <w:rFonts w:hint="eastAsia"/>
          <w:lang w:val="en-US" w:eastAsia="ko-KR"/>
        </w:rPr>
        <w:t>During the e-mail discussion, some companies argue</w:t>
      </w:r>
      <w:r>
        <w:rPr>
          <w:lang w:val="en-US" w:eastAsia="ko-KR"/>
        </w:rPr>
        <w:t>d</w:t>
      </w:r>
      <w:r>
        <w:rPr>
          <w:rFonts w:hint="eastAsia"/>
          <w:lang w:val="en-US" w:eastAsia="ko-KR"/>
        </w:rPr>
        <w:t xml:space="preserve"> that </w:t>
      </w:r>
      <w:r>
        <w:rPr>
          <w:lang w:val="en-US" w:eastAsia="ko-KR"/>
        </w:rPr>
        <w:t>the UE memory could be shared between EHC and ROHC, and the capability signaling for joint operation is needed for this concern. However, the memory is mostly used by the EHC or ROHC contexts, and the UE’s memory capability is well informed by the maximum number of EHC or ROHC contexts, as shown in the 38.306 endorsed CR (R2-2003885).</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trPr>
          <w:cantSplit/>
        </w:trPr>
        <w:tc>
          <w:tcPr>
            <w:tcW w:w="7290" w:type="dxa"/>
          </w:tcPr>
          <w:p>
            <w:pPr>
              <w:pStyle w:val="TAL"/>
              <w:rPr>
                <w:rFonts w:cs="Arial"/>
                <w:b/>
                <w:bCs/>
                <w:i/>
                <w:iCs/>
                <w:noProof/>
                <w:szCs w:val="18"/>
              </w:rPr>
            </w:pPr>
            <w:r>
              <w:rPr>
                <w:rFonts w:cs="Arial"/>
                <w:b/>
                <w:bCs/>
                <w:i/>
                <w:iCs/>
                <w:noProof/>
                <w:szCs w:val="18"/>
              </w:rPr>
              <w:t>maxNumberROHC-ContextSessions</w:t>
            </w:r>
          </w:p>
          <w:p>
            <w:pPr>
              <w:pStyle w:val="TAL"/>
              <w:rPr>
                <w:rFonts w:cs="Arial"/>
                <w:b/>
                <w:bCs/>
                <w:i/>
                <w:iCs/>
                <w:szCs w:val="18"/>
              </w:rPr>
            </w:pPr>
            <w:r>
              <w:t>Defines the maximum number of ROHC header compression context sessions supported by the UE, excluding context sessions that leave all headers uncompressed.</w:t>
            </w:r>
          </w:p>
        </w:tc>
      </w:tr>
      <w:tr>
        <w:trPr>
          <w:cantSplit/>
        </w:trPr>
        <w:tc>
          <w:tcPr>
            <w:tcW w:w="7290" w:type="dxa"/>
          </w:tcPr>
          <w:p>
            <w:pPr>
              <w:pStyle w:val="TAL"/>
              <w:rPr>
                <w:b/>
                <w:i/>
              </w:rPr>
            </w:pPr>
            <w:r>
              <w:rPr>
                <w:b/>
                <w:i/>
              </w:rPr>
              <w:t>maxNumberEHC-Contexts-r16</w:t>
            </w:r>
          </w:p>
          <w:p>
            <w:pPr>
              <w:pStyle w:val="TAL"/>
              <w:rPr>
                <w:rFonts w:cs="Arial"/>
                <w:b/>
                <w:bCs/>
                <w:i/>
                <w:iCs/>
                <w:noProof/>
                <w:szCs w:val="18"/>
              </w:rPr>
            </w:pPr>
            <w:r>
              <w:t>Defines the maximum number of Ethernet header compression contexts supported by the UE across all DRBs and across UE’s EHC compressor and EHC decompressor. The indicated number defines the number of contexts in addition to CID = "all zeros" as specified in TS 38.323.</w:t>
            </w:r>
          </w:p>
        </w:tc>
      </w:tr>
    </w:tbl>
    <w:p>
      <w:pPr>
        <w:rPr>
          <w:sz w:val="2"/>
          <w:szCs w:val="2"/>
          <w:lang w:eastAsia="ko-KR"/>
        </w:rPr>
      </w:pPr>
    </w:p>
    <w:p>
      <w:pPr>
        <w:rPr>
          <w:lang w:eastAsia="ko-KR"/>
        </w:rPr>
      </w:pPr>
      <w:r>
        <w:rPr>
          <w:rFonts w:hint="eastAsia"/>
          <w:lang w:eastAsia="ko-KR"/>
        </w:rPr>
        <w:t xml:space="preserve">If the UE is able to </w:t>
      </w:r>
      <w:r>
        <w:rPr>
          <w:lang w:eastAsia="ko-KR"/>
        </w:rPr>
        <w:t>allocate the memory dynamically to different header compression contexts (e.g. by removing oldest contexts when the memory overflows), the UE can set each parameter equal to the UE memory size.</w:t>
      </w:r>
    </w:p>
    <w:p>
      <w:pPr>
        <w:rPr>
          <w:lang w:eastAsia="ko-KR"/>
        </w:rPr>
      </w:pPr>
      <w:r>
        <w:rPr>
          <w:rFonts w:hint="eastAsia"/>
          <w:lang w:eastAsia="ko-KR"/>
        </w:rPr>
        <w:t xml:space="preserve">Else, if the UE is not able for dynamic memory allocation, </w:t>
      </w:r>
      <w:r>
        <w:rPr>
          <w:lang w:eastAsia="ko-KR"/>
        </w:rPr>
        <w:t xml:space="preserve">the UE sets the parameters </w:t>
      </w:r>
      <w:r>
        <w:rPr>
          <w:lang w:val="en-US" w:eastAsia="ko-KR"/>
        </w:rPr>
        <w:t xml:space="preserve">such that the sum of </w:t>
      </w:r>
      <w:r>
        <w:rPr>
          <w:i/>
          <w:lang w:val="en-US" w:eastAsia="ko-KR"/>
        </w:rPr>
        <w:t>maxNumberROHC-ContextSessions</w:t>
      </w:r>
      <w:r>
        <w:rPr>
          <w:lang w:val="en-US" w:eastAsia="ko-KR"/>
        </w:rPr>
        <w:t xml:space="preserve"> and </w:t>
      </w:r>
      <w:r>
        <w:rPr>
          <w:i/>
          <w:lang w:val="en-US" w:eastAsia="ko-KR"/>
        </w:rPr>
        <w:t>maxNumberEHC-Contexts-r16</w:t>
      </w:r>
      <w:r>
        <w:rPr>
          <w:lang w:val="en-US" w:eastAsia="ko-KR"/>
        </w:rPr>
        <w:t xml:space="preserve"> is equal to the UE memory size.</w:t>
      </w:r>
    </w:p>
    <w:p>
      <w:pPr>
        <w:rPr>
          <w:lang w:val="en-US" w:eastAsia="ko-KR"/>
        </w:rPr>
      </w:pPr>
      <w:r>
        <w:rPr>
          <w:rFonts w:hint="eastAsia"/>
          <w:lang w:val="en-US" w:eastAsia="ko-KR"/>
        </w:rPr>
        <w:t xml:space="preserve">Whether to use dynamic </w:t>
      </w:r>
      <w:r>
        <w:rPr>
          <w:lang w:val="en-US" w:eastAsia="ko-KR"/>
        </w:rPr>
        <w:t xml:space="preserve">memory </w:t>
      </w:r>
      <w:r>
        <w:rPr>
          <w:rFonts w:hint="eastAsia"/>
          <w:lang w:val="en-US" w:eastAsia="ko-KR"/>
        </w:rPr>
        <w:t>allocation or st</w:t>
      </w:r>
      <w:r>
        <w:rPr>
          <w:lang w:val="en-US" w:eastAsia="ko-KR"/>
        </w:rPr>
        <w:t xml:space="preserve">atic memory allocation is all up to UE capability, and well indicated by the </w:t>
      </w:r>
      <w:r>
        <w:rPr>
          <w:i/>
          <w:lang w:val="en-US" w:eastAsia="ko-KR"/>
        </w:rPr>
        <w:t>maxNumber-Context</w:t>
      </w:r>
      <w:r>
        <w:rPr>
          <w:lang w:val="en-US" w:eastAsia="ko-KR"/>
        </w:rPr>
        <w:t xml:space="preserve"> parameters.</w:t>
      </w:r>
    </w:p>
    <w:p>
      <w:pPr>
        <w:rPr>
          <w:b/>
          <w:lang w:val="en-US" w:eastAsia="ko-KR"/>
        </w:rPr>
      </w:pPr>
      <w:r>
        <w:rPr>
          <w:b/>
          <w:lang w:val="en-US" w:eastAsia="ko-KR"/>
        </w:rPr>
        <w:lastRenderedPageBreak/>
        <w:t xml:space="preserve">Proposal 2. The UE memory concern is well indicated by the </w:t>
      </w:r>
      <w:r>
        <w:rPr>
          <w:b/>
          <w:i/>
          <w:lang w:val="en-US" w:eastAsia="ko-KR"/>
        </w:rPr>
        <w:t>maxNumberROHC-ContextSessions</w:t>
      </w:r>
      <w:r>
        <w:rPr>
          <w:b/>
          <w:lang w:val="en-US" w:eastAsia="ko-KR"/>
        </w:rPr>
        <w:t xml:space="preserve"> and </w:t>
      </w:r>
      <w:r>
        <w:rPr>
          <w:b/>
          <w:i/>
          <w:lang w:val="en-US" w:eastAsia="ko-KR"/>
        </w:rPr>
        <w:t>maxNumberEHC-Contexts-r16</w:t>
      </w:r>
      <w:r>
        <w:rPr>
          <w:b/>
          <w:lang w:val="en-US" w:eastAsia="ko-KR"/>
        </w:rPr>
        <w:t>, and no additional capability signaling is needed.</w:t>
      </w:r>
    </w:p>
    <w:p>
      <w:pPr>
        <w:pStyle w:val="1"/>
        <w:rPr>
          <w:lang w:val="en-US"/>
        </w:rPr>
      </w:pPr>
      <w:r>
        <w:rPr>
          <w:lang w:val="en-US"/>
        </w:rPr>
        <w:t>3.</w:t>
      </w:r>
      <w:r>
        <w:rPr>
          <w:lang w:val="en-US"/>
        </w:rPr>
        <w:tab/>
        <w:t>Proposals</w:t>
      </w:r>
    </w:p>
    <w:p>
      <w:pPr>
        <w:rPr>
          <w:lang w:val="en-US" w:eastAsia="ko-KR"/>
        </w:rPr>
      </w:pPr>
      <w:r>
        <w:rPr>
          <w:lang w:val="en-US" w:eastAsia="ko-KR"/>
        </w:rPr>
        <w:t>In this document, we showed our view on the need for capability signaling for joint EHC-ROHC operation. We have following observation and proposals:</w:t>
      </w:r>
    </w:p>
    <w:p>
      <w:pPr>
        <w:rPr>
          <w:b/>
          <w:lang w:val="en-US" w:eastAsia="ko-KR"/>
        </w:rPr>
      </w:pPr>
      <w:r>
        <w:rPr>
          <w:rFonts w:hint="eastAsia"/>
          <w:b/>
          <w:lang w:val="en-US" w:eastAsia="ko-KR"/>
        </w:rPr>
        <w:t xml:space="preserve">Observation 1. </w:t>
      </w:r>
      <w:r>
        <w:rPr>
          <w:b/>
          <w:lang w:val="en-US" w:eastAsia="ko-KR"/>
        </w:rPr>
        <w:t>ROHC is a mandatory feature, and support for EHC means that the UE can support both EHC and ROHC simultaneously.</w:t>
      </w:r>
    </w:p>
    <w:p>
      <w:pPr>
        <w:rPr>
          <w:b/>
          <w:lang w:val="en-US" w:eastAsia="ko-KR"/>
        </w:rPr>
      </w:pPr>
      <w:r>
        <w:rPr>
          <w:b/>
          <w:lang w:val="en-US" w:eastAsia="ko-KR"/>
        </w:rPr>
        <w:t>Proposal 1. A capability signaling for joint EHC-ROHC operation is not needed.</w:t>
      </w:r>
    </w:p>
    <w:p>
      <w:pPr>
        <w:rPr>
          <w:b/>
          <w:lang w:val="en-US" w:eastAsia="ko-KR"/>
        </w:rPr>
      </w:pPr>
      <w:r>
        <w:rPr>
          <w:b/>
          <w:lang w:val="en-US" w:eastAsia="ko-KR"/>
        </w:rPr>
        <w:t xml:space="preserve">Proposal 2. The UE memory concern is well indicated by the </w:t>
      </w:r>
      <w:r>
        <w:rPr>
          <w:b/>
          <w:i/>
          <w:lang w:val="en-US" w:eastAsia="ko-KR"/>
        </w:rPr>
        <w:t>maxNumberROHC-ContextSessions</w:t>
      </w:r>
      <w:r>
        <w:rPr>
          <w:b/>
          <w:lang w:val="en-US" w:eastAsia="ko-KR"/>
        </w:rPr>
        <w:t xml:space="preserve"> and </w:t>
      </w:r>
      <w:r>
        <w:rPr>
          <w:b/>
          <w:i/>
          <w:lang w:val="en-US" w:eastAsia="ko-KR"/>
        </w:rPr>
        <w:t>maxNumberEHC-Contexts-r16</w:t>
      </w:r>
      <w:r>
        <w:rPr>
          <w:b/>
          <w:lang w:val="en-US" w:eastAsia="ko-KR"/>
        </w:rPr>
        <w:t>, and no additional capability signaling is needed.</w:t>
      </w:r>
    </w:p>
    <w:p>
      <w:pPr>
        <w:rPr>
          <w:lang w:val="en-US" w:eastAsia="ko-KR"/>
        </w:rPr>
      </w:pPr>
    </w:p>
    <w:sectPr>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w:t>
    </w:r>
    <w:r>
      <w:rPr>
        <w:rStyle w:val="a9"/>
      </w:rPr>
      <w:fldChar w:fldCharType="end"/>
    </w:r>
  </w:p>
  <w:p>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basedOn w:val="a"/>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169F90-19FA-4CF9-BD44-052862A89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1</Pages>
  <Words>577</Words>
  <Characters>3289</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103</cp:revision>
  <dcterms:created xsi:type="dcterms:W3CDTF">2020-03-04T00:07:00Z</dcterms:created>
  <dcterms:modified xsi:type="dcterms:W3CDTF">2020-05-22T02:15:00Z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